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/>
      <w:r/>
    </w:p>
    <w:tbl>
      <w:tblPr>
        <w:tblW w:w="15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8"/>
        <w:gridCol w:w="5709"/>
        <w:gridCol w:w="5708"/>
      </w:tblGrid>
      <w:tr>
        <w:tblPrEx/>
        <w:trPr>
          <w:jc w:val="center"/>
          <w:trHeight w:val="326" w:hRule="exact"/>
        </w:trPr>
        <w:tc>
          <w:tcPr>
            <w:gridSpan w:val="3"/>
            <w:shd w:val="clear" w:color="auto" w:fill="931f22"/>
            <w:tcW w:w="15165" w:type="dxa"/>
            <w:vAlign w:val="bottom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982327"/>
              <w:rPr>
                <w:rFonts w:ascii="Arial" w:hAnsi="Arial" w:cs="Arial"/>
                <w:color w:val="ffffff"/>
                <w:sz w:val="18"/>
                <w:szCs w:val="18"/>
              </w:rPr>
              <w:pBdr>
                <w:top w:val="single" w:color="982327" w:sz="0" w:space="0"/>
                <w:left w:val="single" w:color="982327" w:sz="0" w:space="0"/>
                <w:bottom w:val="single" w:color="982327" w:sz="0" w:space="0"/>
                <w:right w:val="single" w:color="982327" w:sz="0" w:space="0"/>
              </w:pBd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Расчет доступной мощности терминала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 0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4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/2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</w:r>
          </w:p>
        </w:tc>
      </w:tr>
      <w:tr>
        <w:tblPrEx/>
        <w:trPr>
          <w:jc w:val="center"/>
          <w:trHeight w:val="252" w:hRule="exact"/>
        </w:trPr>
        <w:tc>
          <w:tcPr>
            <w:shd w:val="clear" w:color="auto" w:fill="ffffff"/>
            <w:tcW w:w="3748" w:type="dxa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Терминал /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Terminal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1417" w:type="dxa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eastAsia="Calibri" w:cs="Arial"/>
                <w:sz w:val="18"/>
                <w:szCs w:val="18"/>
                <w:lang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ООО «ВСК» / VSC LLC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shd w:val="clear" w:color="auto" w:fill="ffffff"/>
            <w:tcW w:w="3748" w:type="dxa"/>
            <w:vAlign w:val="center"/>
            <w:vMerge w:val="restart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Единиц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Units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57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Containers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Контейнеры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Others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Иные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</w:tr>
      <w:tr>
        <w:tblPrEx/>
        <w:trPr>
          <w:jc w:val="center"/>
          <w:trHeight w:val="556"/>
        </w:trPr>
        <w:tc>
          <w:tcPr>
            <w:shd w:val="clear" w:color="auto" w:fill="ffffff"/>
            <w:tcW w:w="3748" w:type="dxa"/>
            <w:vAlign w:val="center"/>
            <w:vMerge w:val="continue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57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Total TEU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ИТОГО 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(TEU)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Tons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тонны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</w:tr>
      <w:tr>
        <w:tblPrEx/>
        <w:trPr>
          <w:jc w:val="center"/>
          <w:trHeight w:val="681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Нормативная (проектная) пропускная способность/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Regulatory (design) throughput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</w:t>
            </w:r>
            <w:r>
              <w:rPr>
                <w:rFonts w:ascii="Arial" w:hAnsi="Arial" w:cs="Arial"/>
                <w:sz w:val="18"/>
                <w:szCs w:val="18"/>
              </w:rPr>
              <w:t xml:space="preserve">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868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Фактическая мощность, с учетом производственных ограничений/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Current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Capacity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Considering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Restrictions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</w:r>
          </w:p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</w:t>
            </w:r>
            <w:r>
              <w:rPr>
                <w:rFonts w:ascii="Arial" w:hAnsi="Arial" w:cs="Arial"/>
                <w:sz w:val="18"/>
                <w:szCs w:val="18"/>
              </w:rPr>
              <w:t xml:space="preserve">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277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Доступная мощность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Available Capacity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</w:t>
            </w:r>
            <w:r>
              <w:rPr>
                <w:rFonts w:ascii="Arial" w:hAnsi="Arial" w:cs="Arial"/>
                <w:sz w:val="18"/>
                <w:szCs w:val="18"/>
              </w:rPr>
              <w:t xml:space="preserve">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r/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Другое_"/>
    <w:basedOn w:val="618"/>
    <w:link w:val="622"/>
    <w:rPr>
      <w:rFonts w:ascii="Times New Roman" w:hAnsi="Times New Roman" w:eastAsia="Times New Roman" w:cs="Times New Roman"/>
      <w:shd w:val="clear" w:color="auto" w:fill="ffffff"/>
    </w:rPr>
  </w:style>
  <w:style w:type="paragraph" w:styleId="622" w:customStyle="1">
    <w:name w:val="Другое"/>
    <w:basedOn w:val="617"/>
    <w:link w:val="621"/>
    <w:pPr>
      <w:spacing w:after="240" w:line="264" w:lineRule="auto"/>
      <w:shd w:val="clear" w:color="auto" w:fill="ffffff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Enin</dc:creator>
  <cp:keywords/>
  <dc:description/>
  <cp:lastModifiedBy>Pavel Opanasyuk</cp:lastModifiedBy>
  <cp:revision>7</cp:revision>
  <dcterms:created xsi:type="dcterms:W3CDTF">2026-02-17T21:48:00Z</dcterms:created>
  <dcterms:modified xsi:type="dcterms:W3CDTF">2026-03-25T00:25:58Z</dcterms:modified>
</cp:coreProperties>
</file>